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DFDF62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</w:p>
    <w:p w14:paraId="1CAAEE23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  <w:drawing>
          <wp:inline distT="0" distB="0" distL="114300" distR="114300">
            <wp:extent cx="5083810" cy="2261870"/>
            <wp:effectExtent l="0" t="0" r="2540" b="5080"/>
            <wp:docPr id="22" name="图片 22" descr="94cb616e7998bdad0b4ce16ecc19fb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94cb616e7998bdad0b4ce16ecc19fb8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8381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A2BFD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</w:p>
    <w:p w14:paraId="7BBEFC13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  <w:t>企</w:t>
      </w:r>
    </w:p>
    <w:p w14:paraId="5AD19400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  <w:t>业</w:t>
      </w:r>
    </w:p>
    <w:p w14:paraId="0DF25FCA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  <w:t>简</w:t>
      </w:r>
    </w:p>
    <w:p w14:paraId="51983762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  <w:t>介</w:t>
      </w:r>
    </w:p>
    <w:p w14:paraId="7929D3F6">
      <w:pPr>
        <w:jc w:val="center"/>
        <w:rPr>
          <w:rFonts w:hint="eastAsia" w:ascii="宋体" w:hAnsi="宋体" w:eastAsia="宋体" w:cs="宋体"/>
          <w:b/>
          <w:bCs/>
          <w:sz w:val="60"/>
          <w:szCs w:val="96"/>
          <w:lang w:val="en-US" w:eastAsia="zh-CN"/>
        </w:rPr>
      </w:pPr>
    </w:p>
    <w:p w14:paraId="6511113F">
      <w:pPr>
        <w:ind w:left="1602" w:leftChars="304" w:hanging="964" w:hangingChars="3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8B2838D">
      <w:pPr>
        <w:ind w:left="1602" w:leftChars="304" w:hanging="964" w:hangingChars="3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9C7B72E">
      <w:pPr>
        <w:ind w:left="1602" w:leftChars="304" w:hanging="964" w:hangingChars="3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地址：河南省安阳市安阳县北郭乡文化大道1号(北郭乡政府院内1号楼三楼301-306室)</w:t>
      </w:r>
    </w:p>
    <w:p w14:paraId="4B39F6F9">
      <w:pPr>
        <w:ind w:left="1602" w:leftChars="304" w:hanging="964" w:hangingChars="30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电话：0371-65392936</w:t>
      </w: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6213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Cs/>
          <w:kern w:val="2"/>
          <w:sz w:val="21"/>
          <w:szCs w:val="96"/>
          <w:lang w:val="en-US" w:eastAsia="zh-CN" w:bidi="ar-SA"/>
        </w:rPr>
      </w:sdtEndPr>
      <w:sdtContent>
        <w:p w14:paraId="6B3F0ABF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4"/>
              <w:lang w:val="en-US" w:eastAsia="zh-CN" w:bidi="ar-SA"/>
            </w:rPr>
          </w:pPr>
        </w:p>
        <w:p w14:paraId="4EA3D41B">
          <w:pPr>
            <w:rPr>
              <w:rFonts w:ascii="宋体" w:hAnsi="宋体" w:eastAsia="宋体" w:cstheme="minorBidi"/>
              <w:kern w:val="2"/>
              <w:sz w:val="21"/>
              <w:szCs w:val="24"/>
              <w:lang w:val="en-US" w:eastAsia="zh-CN" w:bidi="ar-SA"/>
            </w:rPr>
          </w:pPr>
          <w:r>
            <w:rPr>
              <w:rFonts w:ascii="宋体" w:hAnsi="宋体" w:eastAsia="宋体" w:cstheme="minorBidi"/>
              <w:kern w:val="2"/>
              <w:sz w:val="21"/>
              <w:szCs w:val="24"/>
              <w:lang w:val="en-US" w:eastAsia="zh-CN" w:bidi="ar-SA"/>
            </w:rPr>
            <w:br w:type="page"/>
          </w:r>
        </w:p>
        <w:p w14:paraId="32DDD06E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sz w:val="28"/>
              <w:szCs w:val="36"/>
            </w:rPr>
          </w:pPr>
          <w:r>
            <w:rPr>
              <w:rFonts w:ascii="宋体" w:hAnsi="宋体" w:eastAsia="宋体"/>
              <w:sz w:val="28"/>
              <w:szCs w:val="36"/>
            </w:rPr>
            <w:t>目录</w:t>
          </w:r>
        </w:p>
        <w:p w14:paraId="7964A49E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/>
              <w:bCs/>
              <w:sz w:val="60"/>
              <w:szCs w:val="96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/>
              <w:bCs/>
              <w:sz w:val="60"/>
              <w:szCs w:val="96"/>
              <w:lang w:val="en-US" w:eastAsia="zh-CN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b/>
              <w:bCs/>
              <w:sz w:val="60"/>
              <w:szCs w:val="96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_Toc32726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sz w:val="24"/>
              <w:szCs w:val="52"/>
              <w:lang w:val="en-US" w:eastAsia="zh-CN"/>
            </w:rPr>
            <w:t>一、企业基本信息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_Toc32726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0F062DF8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_Toc32285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二、企业资质与荣誉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_Toc32285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65F4D08C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_Toc3733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资质证书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_Toc3733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2FA837DC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_Toc9544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荣誉与奖项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_Toc9544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1EE0266E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_Toc7985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3、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专利、工法或技术创新成果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_Toc7985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3181027C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_Toc8013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三、业务范围与核心领域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_Toc8013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33FB852A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_Toc25019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主营业务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_Toc25019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15CC6743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_Toc24412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2、重点领域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_Toc24412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10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634A2BA9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_Toc12328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3、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业务区域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_Toc12328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04832CCC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_Toc22380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四、企业实力与资源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_Toc22380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3CE6FF5B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_Toc28829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团队与人才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_Toc28829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11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39AB023B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_Toc13037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技术与设备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_Toc13037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03BF31CB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_Toc31411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五、经典项目案例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_Toc31411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0F85BAA3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_Toc10330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="宋体" w:hAnsi="宋体" w:eastAsia="宋体" w:cs="宋体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项目列表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_Toc10330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17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10C799F0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_Toc17171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</w:t>
          </w:r>
          <w:r>
            <w:rPr>
              <w:rFonts w:hint="eastAsia" w:asciiTheme="majorEastAsia" w:hAnsiTheme="majorEastAsia" w:eastAsiaTheme="majorEastAsia" w:cstheme="maj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代表性项目详情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_Toc17171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18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1461438A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_Toc22251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六、企业理念与文化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_Toc22251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4F419807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_Toc10779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核心价值观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_Toc10779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352A5977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_Toc11667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企业使命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_Toc11667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48D6C289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_Toc28808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3、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发展愿景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_Toc28808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5F6BD679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_Toc12866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4、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社会责任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_Toc12866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2C0B3B19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_Toc13623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七、财务与履约能力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_Toc13623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4D065591">
          <w:pPr>
            <w:pStyle w:val="6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_Toc23578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Cs/>
              <w:sz w:val="24"/>
              <w:szCs w:val="52"/>
              <w:lang w:val="en-US" w:eastAsia="zh-CN"/>
            </w:rPr>
            <w:t>八、联系方式与合作渠道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_Toc23578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6C458973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  <w:rPr>
              <w:sz w:val="24"/>
              <w:szCs w:val="32"/>
            </w:rPr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_Toc32665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1、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官方信息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_Toc32665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2929D6DE">
          <w:pPr>
            <w:pStyle w:val="7"/>
            <w:keepNext w:val="0"/>
            <w:keepLines w:val="0"/>
            <w:pageBreakBefore w:val="0"/>
            <w:widowControl w:val="0"/>
            <w:tabs>
              <w:tab w:val="right" w:leader="dot" w:pos="974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360" w:lineRule="auto"/>
            <w:textAlignment w:val="auto"/>
          </w:pP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instrText xml:space="preserve"> HYPERLINK \l _Toc5720 </w:instrText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separate"/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  <w:lang w:val="en-US" w:eastAsia="zh-CN"/>
            </w:rPr>
            <w:t>2、</w:t>
          </w:r>
          <w:r>
            <w:rPr>
              <w:rFonts w:hint="eastAsia" w:asciiTheme="minorEastAsia" w:hAnsiTheme="minorEastAsia" w:eastAsiaTheme="minorEastAsia" w:cstheme="minorEastAsia"/>
              <w:bCs/>
              <w:i w:val="0"/>
              <w:iCs w:val="0"/>
              <w:caps w:val="0"/>
              <w:spacing w:val="0"/>
              <w:sz w:val="24"/>
              <w:szCs w:val="32"/>
              <w:shd w:val="clear" w:fill="FFFFFF"/>
            </w:rPr>
            <w:t>联络方式</w:t>
          </w:r>
          <w:r>
            <w:rPr>
              <w:sz w:val="24"/>
              <w:szCs w:val="32"/>
            </w:rPr>
            <w:tab/>
          </w:r>
          <w:r>
            <w:rPr>
              <w:sz w:val="24"/>
              <w:szCs w:val="32"/>
            </w:rPr>
            <w:fldChar w:fldCharType="begin"/>
          </w:r>
          <w:r>
            <w:rPr>
              <w:sz w:val="24"/>
              <w:szCs w:val="32"/>
            </w:rPr>
            <w:instrText xml:space="preserve"> PAGEREF _Toc5720 \h </w:instrText>
          </w:r>
          <w:r>
            <w:rPr>
              <w:sz w:val="24"/>
              <w:szCs w:val="32"/>
            </w:rPr>
            <w:fldChar w:fldCharType="separate"/>
          </w:r>
          <w:r>
            <w:rPr>
              <w:sz w:val="24"/>
              <w:szCs w:val="32"/>
            </w:rPr>
            <w:t>24</w:t>
          </w:r>
          <w:r>
            <w:rPr>
              <w:sz w:val="24"/>
              <w:szCs w:val="32"/>
            </w:rPr>
            <w:fldChar w:fldCharType="end"/>
          </w:r>
          <w:r>
            <w:rPr>
              <w:rFonts w:hint="eastAsia" w:ascii="宋体" w:hAnsi="宋体" w:eastAsia="宋体" w:cs="宋体"/>
              <w:bCs/>
              <w:sz w:val="24"/>
              <w:szCs w:val="144"/>
              <w:lang w:val="en-US" w:eastAsia="zh-CN"/>
            </w:rPr>
            <w:fldChar w:fldCharType="end"/>
          </w:r>
        </w:p>
        <w:p w14:paraId="64802495">
          <w:pPr>
            <w:jc w:val="both"/>
            <w:rPr>
              <w:rFonts w:hint="eastAsia" w:ascii="宋体" w:hAnsi="宋体" w:eastAsia="宋体" w:cs="宋体"/>
              <w:bCs/>
              <w:kern w:val="2"/>
              <w:sz w:val="21"/>
              <w:szCs w:val="96"/>
              <w:lang w:val="en-US" w:eastAsia="zh-CN" w:bidi="ar-SA"/>
            </w:rPr>
          </w:pPr>
          <w:r>
            <w:rPr>
              <w:rFonts w:hint="eastAsia" w:ascii="宋体" w:hAnsi="宋体" w:eastAsia="宋体" w:cs="宋体"/>
              <w:bCs/>
              <w:szCs w:val="96"/>
              <w:lang w:val="en-US" w:eastAsia="zh-CN"/>
            </w:rPr>
            <w:fldChar w:fldCharType="end"/>
          </w:r>
        </w:p>
      </w:sdtContent>
    </w:sdt>
    <w:p w14:paraId="3C5BF92E">
      <w:pPr>
        <w:jc w:val="both"/>
        <w:rPr>
          <w:rFonts w:hint="eastAsia" w:ascii="宋体" w:hAnsi="宋体" w:eastAsia="宋体" w:cs="宋体"/>
          <w:bCs/>
          <w:kern w:val="2"/>
          <w:sz w:val="21"/>
          <w:szCs w:val="96"/>
          <w:lang w:val="en-US" w:eastAsia="zh-CN" w:bidi="ar-SA"/>
        </w:rPr>
      </w:pPr>
    </w:p>
    <w:p w14:paraId="0DF17EB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  <w:sectPr>
          <w:pgSz w:w="11906" w:h="16838"/>
          <w:pgMar w:top="1440" w:right="1080" w:bottom="1440" w:left="1080" w:header="851" w:footer="992" w:gutter="0"/>
          <w:cols w:space="425" w:num="1"/>
          <w:docGrid w:type="lines" w:linePitch="312" w:charSpace="0"/>
        </w:sectPr>
      </w:pPr>
      <w:bookmarkStart w:id="0" w:name="_Toc32726"/>
    </w:p>
    <w:p w14:paraId="7B56F57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6"/>
          <w:szCs w:val="44"/>
          <w:lang w:val="en-US" w:eastAsia="zh-CN"/>
        </w:rPr>
        <w:t>一、企业基本信息</w:t>
      </w:r>
      <w:bookmarkEnd w:id="0"/>
    </w:p>
    <w:p w14:paraId="79D02A0A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企业名称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河南海控建设工程有限公司</w:t>
      </w:r>
    </w:p>
    <w:p w14:paraId="3587B37D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成立时间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2019年8月12日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7AB331B9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注册资本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5050万元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69B13AC9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企业性质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民营企业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7D899BC5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法定代表人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王洁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70CDC7BE"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570" w:leftChars="0" w:hanging="360" w:firstLine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注册地址与办公地址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</w:p>
    <w:p w14:paraId="46C4048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360" w:left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注册地址：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河南省安阳市安阳县北郭乡文化大道1号(北郭乡政府院内1号楼三楼301-306室)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5CFD143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360" w:leftChars="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办公地址：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郑州市管城回族区航海路六大街商鼎创业大厦327。</w:t>
      </w:r>
    </w:p>
    <w:p w14:paraId="3DD0ECB2">
      <w:pP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hd w:val="clear" w:fill="FFFFFF"/>
        </w:rPr>
      </w:pP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hd w:val="clear" w:fill="FFFFFF"/>
        </w:rPr>
        <w:br w:type="page"/>
      </w:r>
    </w:p>
    <w:p w14:paraId="16FB404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1" w:name="_Toc32285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二、</w:t>
      </w:r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企业资质与荣誉</w:t>
      </w:r>
      <w:bookmarkEnd w:id="1"/>
    </w:p>
    <w:p w14:paraId="687897DB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1"/>
        <w:rPr>
          <w:rFonts w:hint="eastAsia" w:asciiTheme="majorEastAsia" w:hAnsiTheme="majorEastAsia" w:eastAsiaTheme="majorEastAsia" w:cstheme="majorEastAsia"/>
        </w:rPr>
      </w:pPr>
      <w:bookmarkStart w:id="2" w:name="_Toc3733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资质证书</w:t>
      </w:r>
      <w:r>
        <w:rPr>
          <w:rFonts w:hint="eastAsia" w:asciiTheme="majorEastAsia" w:hAnsiTheme="majorEastAsia" w:eastAsiaTheme="majorEastAsia" w:cstheme="maj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2"/>
    </w:p>
    <w:p w14:paraId="17DF6B6A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2"/>
        <w:rPr>
          <w:rFonts w:hint="eastAsia" w:asciiTheme="minorEastAsia" w:hAnsiTheme="minorEastAsia" w:eastAsiaTheme="minorEastAsia" w:cstheme="minorEastAsia"/>
        </w:rPr>
      </w:pPr>
      <w:bookmarkStart w:id="3" w:name="_Toc6772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建筑行业资质（如总承包资质、专业承包资质，注明等级，如特级、一级）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；</w:t>
      </w:r>
      <w:bookmarkEnd w:id="3"/>
    </w:p>
    <w:p w14:paraId="6EBD4A41">
      <w:pPr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6178550" cy="4492625"/>
            <wp:effectExtent l="0" t="0" r="12700" b="3175"/>
            <wp:docPr id="2" name="图片 2" descr="6.24最新营业执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.24最新营业执照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</w:p>
    <w:p w14:paraId="6CE2FCAF">
      <w:pPr>
        <w:keepNext w:val="0"/>
        <w:keepLines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rPr>
          <w:rFonts w:hint="eastAsia" w:ascii="宋体" w:hAnsi="宋体" w:eastAsia="宋体" w:cs="宋体"/>
        </w:rPr>
      </w:pPr>
    </w:p>
    <w:p w14:paraId="58251E14">
      <w:pPr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5788025" cy="8187690"/>
            <wp:effectExtent l="0" t="0" r="3175" b="3810"/>
            <wp:docPr id="1" name="图片 1" descr="7.4资质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.4资质证书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88025" cy="818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</w:p>
    <w:p w14:paraId="62D91708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2"/>
        <w:rPr>
          <w:rFonts w:hint="eastAsia" w:ascii="宋体" w:hAnsi="宋体" w:eastAsia="宋体" w:cs="宋体"/>
          <w:b/>
          <w:bCs/>
        </w:rPr>
      </w:pPr>
      <w:bookmarkStart w:id="4" w:name="_Toc24948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其他相关资质（如安全生产许可证、ISO 体系认证、环保认证等）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4"/>
    </w:p>
    <w:p w14:paraId="04E0AF65">
      <w:pP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lang w:eastAsia="zh-CN"/>
        </w:rPr>
        <w:drawing>
          <wp:inline distT="0" distB="0" distL="114300" distR="114300">
            <wp:extent cx="6181725" cy="4371975"/>
            <wp:effectExtent l="0" t="0" r="9525" b="9525"/>
            <wp:docPr id="3" name="图片 3" descr="安全生产许可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安全生产许可证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6184900" cy="8746490"/>
            <wp:effectExtent l="0" t="0" r="6350" b="16510"/>
            <wp:docPr id="4" name="图片 4" descr="质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质量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6184900" cy="8746490"/>
            <wp:effectExtent l="0" t="0" r="6350" b="16510"/>
            <wp:docPr id="5" name="图片 5" descr="职业健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职业健康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6184900" cy="8746490"/>
            <wp:effectExtent l="0" t="0" r="6350" b="16510"/>
            <wp:docPr id="6" name="图片 6" descr="环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环境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</w:p>
    <w:p w14:paraId="6897E476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1"/>
        <w:rPr>
          <w:rFonts w:hint="eastAsia" w:asciiTheme="majorEastAsia" w:hAnsiTheme="majorEastAsia" w:eastAsiaTheme="majorEastAsia" w:cstheme="majorEastAsia"/>
        </w:rPr>
      </w:pPr>
      <w:bookmarkStart w:id="5" w:name="_Toc9544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荣誉与奖项</w:t>
      </w:r>
      <w:r>
        <w:rPr>
          <w:rFonts w:hint="eastAsia" w:asciiTheme="majorEastAsia" w:hAnsiTheme="majorEastAsia" w:eastAsiaTheme="majorEastAsia" w:cstheme="maj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5"/>
    </w:p>
    <w:p w14:paraId="39791832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2"/>
        <w:rPr>
          <w:rFonts w:hint="eastAsia" w:asciiTheme="minorEastAsia" w:hAnsiTheme="minorEastAsia" w:eastAsiaTheme="minorEastAsia" w:cstheme="minorEastAsia"/>
          <w:b/>
          <w:bCs/>
        </w:rPr>
      </w:pPr>
      <w:bookmarkStart w:id="6" w:name="_Toc17727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国家级 / 省级工程奖项（如鲁班奖、詹天佑奖）；</w:t>
      </w:r>
      <w:bookmarkEnd w:id="6"/>
    </w:p>
    <w:p w14:paraId="54253191">
      <w:pPr>
        <w:keepNext w:val="0"/>
        <w:keepLines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080" w:left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无</w:t>
      </w:r>
    </w:p>
    <w:p w14:paraId="3723A67B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2"/>
        <w:rPr>
          <w:rFonts w:hint="eastAsia" w:asciiTheme="minorEastAsia" w:hAnsiTheme="minorEastAsia" w:eastAsiaTheme="minorEastAsia" w:cstheme="minorEastAsia"/>
        </w:rPr>
      </w:pPr>
      <w:bookmarkStart w:id="7" w:name="_Toc16694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行业评选荣誉（如 “优秀建筑企业”“诚信示范企业”）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；</w:t>
      </w:r>
      <w:bookmarkEnd w:id="7"/>
    </w:p>
    <w:p w14:paraId="0E359B02">
      <w:pPr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lang w:eastAsia="zh-CN"/>
        </w:rPr>
        <w:drawing>
          <wp:inline distT="0" distB="0" distL="114300" distR="114300">
            <wp:extent cx="6179820" cy="4367530"/>
            <wp:effectExtent l="0" t="0" r="11430" b="13970"/>
            <wp:docPr id="7" name="图片 7" descr="海控荣誉证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海控荣誉证书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6182360" cy="4495165"/>
            <wp:effectExtent l="0" t="0" r="8890" b="635"/>
            <wp:docPr id="8" name="图片 8" descr="a5a77ac8e243e632bd6d3ef7ba441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5a77ac8e243e632bd6d3ef7ba441e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</w:p>
    <w:p w14:paraId="150BFF1F">
      <w:pPr>
        <w:keepNext w:val="0"/>
        <w:keepLines w:val="0"/>
        <w:widowControl/>
        <w:numPr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1"/>
        <w:rPr>
          <w:rFonts w:hint="eastAsia" w:asciiTheme="minorEastAsia" w:hAnsiTheme="minorEastAsia" w:eastAsiaTheme="minorEastAsia" w:cstheme="minorEastAsia"/>
          <w:b/>
          <w:bCs/>
        </w:rPr>
      </w:pPr>
      <w:bookmarkStart w:id="8" w:name="_Toc7985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专利、工法或技术创新成果（体现技术优势）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8"/>
    </w:p>
    <w:p w14:paraId="04594814">
      <w:pPr>
        <w:keepNext w:val="0"/>
        <w:keepLines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080" w:leftChars="0"/>
        <w:rPr>
          <w:rFonts w:hint="eastAsia" w:asciiTheme="minorEastAsia" w:hAnsiTheme="minorEastAsia" w:eastAsia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无</w:t>
      </w:r>
    </w:p>
    <w:p w14:paraId="42FD047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9" w:name="_Toc8013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三、业务范围与核心领域</w:t>
      </w:r>
      <w:bookmarkEnd w:id="9"/>
    </w:p>
    <w:p w14:paraId="41498B59">
      <w:pPr>
        <w:keepNext w:val="0"/>
        <w:keepLines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1"/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bookmarkStart w:id="10" w:name="_Toc25019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主营业务：</w:t>
      </w:r>
      <w:bookmarkEnd w:id="10"/>
    </w:p>
    <w:p w14:paraId="5FF6493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1）我公司主营业务有：建筑工程、市政工程、防水防腐保温工程、建筑装修装饰工程、电力工程、石油化工工程、机电工程、地基基础工程、电子与智能化工程、消防工程、钢结构工程、建筑机电安装工程、建筑幕墙工程、古建筑工程、城市及道路照明工程、环保工程、施工劳务、模板脚手架、建筑装饰工程设计专项乙级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；</w:t>
      </w:r>
    </w:p>
    <w:p w14:paraId="5D09A90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（2）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涵盖的服务环节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有：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设计、施工、装修、运维等）。</w:t>
      </w:r>
    </w:p>
    <w:p w14:paraId="16C1F5BE">
      <w:pPr>
        <w:keepNext w:val="0"/>
        <w:keepLines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firstLine="482" w:firstLineChars="200"/>
        <w:outlineLvl w:val="1"/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bookmarkStart w:id="11" w:name="_Toc24412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2、重点领域：</w:t>
      </w:r>
      <w:bookmarkEnd w:id="11"/>
    </w:p>
    <w:p w14:paraId="5510015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（1）突出优势板块：绿色建筑、装配式建筑、PPP 项目等）；</w:t>
      </w:r>
    </w:p>
    <w:p w14:paraId="44B6B20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（2）可注明擅长的技术工艺（如深基坑施工、钢结构安装、BIM 技术应用等）。</w:t>
      </w:r>
    </w:p>
    <w:p w14:paraId="27427F1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我公司擅长钢结构安装，在钢结构安装工艺方面有以下心得：</w:t>
      </w:r>
    </w:p>
    <w:p w14:paraId="6F5573B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施工准备</w:t>
      </w:r>
    </w:p>
    <w:p w14:paraId="5D1664F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深入研究施工图纸，全面了解钢结构的构造、尺寸及连接方式等细节，同时对施工现场进行实地勘查，确保场地条件满足施工要求。</w:t>
      </w:r>
    </w:p>
    <w:p w14:paraId="51ED28D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依据施工方案，精准准备各类施工设备和工具，如起重机、电焊机、测量仪器等，并对其进行调试和检查，保证设备性能良好。</w:t>
      </w:r>
    </w:p>
    <w:p w14:paraId="5562F1D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对进入现场的钢结构构件进行严格的质量检验，检查构件的尺寸、外观、焊缝质量等，确保符合设计及规范要求，同时合理规划构件的堆放场地，方便吊运和安装。</w:t>
      </w:r>
    </w:p>
    <w:p w14:paraId="5447E8B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测量放线</w:t>
      </w:r>
    </w:p>
    <w:p w14:paraId="4A2E176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使用高精度的测量仪器，如全站仪、水准仪等，根据设计图纸在施工现场精确测放出钢结构的轴线、标高控制点，并设置明显的标识。</w:t>
      </w:r>
    </w:p>
    <w:p w14:paraId="552234D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定期对测量控制点进行复核，确保其准确性，为后续的钢结构安装提供基准。</w:t>
      </w:r>
    </w:p>
    <w:p w14:paraId="784F4FC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构件吊装</w:t>
      </w:r>
    </w:p>
    <w:p w14:paraId="47E2D5C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根据构件的重量、尺寸和现场施工条件，选择合适的吊装设备和吊装方法。对于大型钢结构构件，常采用履带式起重机或塔式起重机进行吊装。</w:t>
      </w:r>
    </w:p>
    <w:p w14:paraId="03151ED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在吊装过程中，严格控制构件的起吊点、吊索角度和起吊速度，确保构件平稳起吊和安装就位。同时，安排专业的信号工和司索工进行指挥和操作，保证吊装作业的安全和准确。</w:t>
      </w:r>
    </w:p>
    <w:p w14:paraId="14AB064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钢结构连接</w:t>
      </w:r>
    </w:p>
    <w:p w14:paraId="3721598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钢结构的连接方式主要有焊接、螺栓连接等。焊接时，根据构件的材质和焊接位置，选择合适的焊接材料和焊接工艺，严格控制焊接参数，如电流、电压、焊接速度等，确保焊缝质量符合要求。</w:t>
      </w:r>
    </w:p>
    <w:p w14:paraId="013BC85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对于螺栓连接，要确保螺栓的规格、型号正确，安装时按照规定的顺序和扭矩进行拧紧，保证连接的紧密性和可靠性。</w:t>
      </w:r>
    </w:p>
    <w:p w14:paraId="262263C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安装校正</w:t>
      </w:r>
    </w:p>
    <w:p w14:paraId="1EEFC3B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钢结构安装过程中，及时对构件的位置、标高、垂直度等进行测量和校正。采用千斤顶、缆风绳等工具对构件进行微调，使其符合设计要求。</w:t>
      </w:r>
    </w:p>
    <w:p w14:paraId="4AD81A5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安装校正工作需多次进行，在构件安装就位后、焊接或螺栓连接完成后等阶段都要进行复查，确保钢结构的整体安装精度。</w:t>
      </w:r>
    </w:p>
    <w:p w14:paraId="4AE6B09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防腐与防火涂装</w:t>
      </w:r>
    </w:p>
    <w:p w14:paraId="7536BA4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钢结构安装完成后，对构件表面进行除锈处理，根据设计要求选择合适的防腐涂料和防火涂料进行涂装。</w:t>
      </w:r>
    </w:p>
    <w:p w14:paraId="634077D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- 涂装过程中，严格控制涂料的施工环境、施工工艺和涂层厚度，确保涂层均匀、无漏涂、无流坠等缺陷，达到良好的防腐和防火效果。</w:t>
      </w:r>
    </w:p>
    <w:p w14:paraId="52EBD203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inorEastAsia" w:hAnsiTheme="minorEastAsia" w:eastAsiaTheme="minorEastAsia" w:cstheme="minorEastAsia"/>
          <w:b w:val="0"/>
          <w:bCs w:val="0"/>
        </w:rPr>
      </w:pPr>
      <w:bookmarkStart w:id="12" w:name="_Toc12328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业务区域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12"/>
    </w:p>
    <w:p w14:paraId="41D74C83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="宋体" w:hAnsi="宋体" w:eastAsia="宋体" w:cs="宋体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我公司在全国各地市都有项目，比如安徽、福建、上海、宿迁、新疆、西藏、江西、山西、洛阳、山东、四川、内蒙、珠海、海南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</w:p>
    <w:p w14:paraId="09BFB45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13" w:name="_Toc22380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四、企业实力与资源</w:t>
      </w:r>
      <w:bookmarkEnd w:id="13"/>
    </w:p>
    <w:p w14:paraId="68B1332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="宋体" w:hAnsi="宋体" w:eastAsia="宋体" w:cs="宋体"/>
        </w:rPr>
      </w:pPr>
      <w:bookmarkStart w:id="14" w:name="_Toc28829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团队与人才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14"/>
    </w:p>
    <w:p w14:paraId="77F3FDA8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bookmarkStart w:id="15" w:name="_Toc9282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员工规模、专业构成（工程师、建造师、技术人员占比）；</w:t>
      </w:r>
      <w:bookmarkEnd w:id="15"/>
    </w:p>
    <w:p w14:paraId="09CB66A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现有员工76人，其中有职称经济技术人员3人，工程系列有职称人员40 人。高级工程师2 个人，中级职称24 人，助理工程师16人，技术员38 人，一级建造师15人，二级建造</w:t>
      </w:r>
    </w:p>
    <w:p w14:paraId="6F64209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师32 人，造价师2人。</w:t>
      </w:r>
    </w:p>
    <w:p w14:paraId="15D5C790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bookmarkStart w:id="16" w:name="_Toc18201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核心管理团队背景（从业年限、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成功项目经验）</w:t>
      </w: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。</w:t>
      </w:r>
      <w:bookmarkEnd w:id="16"/>
    </w:p>
    <w:p w14:paraId="2BB588A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-团队背景：</w:t>
      </w:r>
    </w:p>
    <w:p w14:paraId="31A5154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我公司于2019年8 月12 日经鹿邑县市场监督管理局批准正式命名为“河南耀光建筑工程有限公司”，2020 年6 月24 日申请公司名称变更，变更为：“河南海控建设工程有限公</w:t>
      </w:r>
    </w:p>
    <w:p w14:paraId="1ADFD47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司”，主管部门为安阳县市场监督管理局。目前，公司组织机构健全，管理机制完善，内设股东会、董事会、监事会、下六部室即：施工技术部、财务部、材料供应部、人事部、质量安检部、办公室，上述各部门职责清晰、责任明确，保证了公司的正常运行。</w:t>
      </w:r>
    </w:p>
    <w:p w14:paraId="738ACE5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-成功项目经验：</w:t>
      </w:r>
    </w:p>
    <w:p w14:paraId="34F75E8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项目名称：碧峰峡景区旅游配套项目-人行吊桥及其配套体验项目</w:t>
      </w:r>
    </w:p>
    <w:p w14:paraId="5E4BA48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一、项目背景与目标 </w:t>
      </w:r>
    </w:p>
    <w:p w14:paraId="3DCE335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碧峰峡景区作为知名旅游胜地，为提升游客游览体验、优化景区内部交通动线，决定新建一座连接野生动物世界与熊猫基地的吊桥。项目旨在缩短两大热门游览区域间的通行时间，将原本需乘坐观光车耗时较长的路程，变为便捷的步行通道，同时为景区增添独特景观，增强景区吸引力。</w:t>
      </w:r>
    </w:p>
    <w:p w14:paraId="133B541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二、项目难点及应对措施 </w:t>
      </w:r>
    </w:p>
    <w:p w14:paraId="253612D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（一）复杂地形挑战 </w:t>
      </w:r>
    </w:p>
    <w:p w14:paraId="242F6B6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碧峰峡地势起伏大、峡谷纵深，地质条件复杂。为此，在前期勘察阶段，我们运用高精度地质勘探设备，对桥址区域进行全方位探测，获取详细地质数据。基于这些数据，设计团队创新采用了独特的桥塔基础形式，通过深挖桩基础，增强桥塔稳定性，使其能稳固扎根于复杂地质中，有效抵御地质沉降与山体位移风险。 </w:t>
      </w:r>
    </w:p>
    <w:p w14:paraId="033C9DE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（二）恶劣气候影响 </w:t>
      </w:r>
    </w:p>
    <w:p w14:paraId="167DA75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施工期间正值雨季，频繁降水和大风天气给高空作业带来极大安全隐患，也影响施工进度。我们制定了完善的应急预案，遇到恶劣天气立即停止高空作业，做好设备防护与人员撤离。同时，优化施工计划，将受天气影响较小的工序安排在雨天进行，如地面构件组装、材料准备等；在天气良好时，集中力量进行关键高空作业，并通过增加施工人员与设备投入，抢回延误工期。 </w:t>
      </w:r>
    </w:p>
    <w:p w14:paraId="144F362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（三）技术要求高 </w:t>
      </w:r>
    </w:p>
    <w:p w14:paraId="055CC31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吊桥主跨215米，宽3.5米，两侧主桥塔高度30.59米，对结构设计与施工精度要求极高。我们组建了由资深桥梁专家、结构工程师和经验丰富施工团队构成的攻坚小组，利用先进的三维建模技术，对吊桥结构进行模拟分析与优化设计 ，提前预演施工过程，精准把控施工难点与关键环节。在施工过程中，运用高精度测量仪器，如全站仪、水准仪等，对构件安装位置和标高进行实时监测与调整，确保施工精度达到毫米级，满足设计要求。 </w:t>
      </w:r>
    </w:p>
    <w:p w14:paraId="3A4AB93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三、项目创新点 </w:t>
      </w:r>
    </w:p>
    <w:p w14:paraId="5652363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（一）独特设计理念 </w:t>
      </w:r>
    </w:p>
    <w:p w14:paraId="0AC3ADB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桥塔造型设计融入熊猫主题元素，将桥塔立柱仿生为“竹笋”“竹叶”造型，营造出“熊猫拉着竹笋拔河”的独特意境美，既与景区大熊猫文化相契合，又为游客带来新奇视觉体验，成为景区标志性景观。同时，桥面采用钢格栅板铺装，不仅保证结构安全可靠，还让游客行走时能全方位欣赏峡谷壮丽景色，增强游览趣味性。 </w:t>
      </w:r>
    </w:p>
    <w:p w14:paraId="5AEC466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（二）施工技术创新</w:t>
      </w:r>
    </w:p>
    <w:p w14:paraId="77418E3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采用整体提升技术进行主缆安装，先在地面将主缆及相关构件组装完成，再利用大型提升设备将其整体提升至设计位置，大大减少高空作业量，提高施工安全性与效率。在构件连接方面，运用新型高强度螺栓连接技术，结合高精度定位工装，确保连接紧密牢固，同时提高安装速度。</w:t>
      </w:r>
    </w:p>
    <w:p w14:paraId="74BF943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四、项目成果</w:t>
      </w:r>
    </w:p>
    <w:p w14:paraId="723AF1C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1. 提升游览体验：吊桥建成后，游客从动物园海狮馆区域步行约3分钟即可抵达熊猫基地，极大节省游玩时间，提升游览效率，优化旅游动线，游客满意度大幅提升。</w:t>
      </w:r>
    </w:p>
    <w:p w14:paraId="3C28F7E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 景区形象升级：吊桥成为景区新的标志性景观，吸引众多游客前来打卡拍照，提升景区知名度与美誉度，有力推动景区旅游业发展，为当地经济增长做出积极贡献 。</w:t>
      </w:r>
    </w:p>
    <w:p w14:paraId="1C01669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3. 行业示范作用：项目在设计、施工过程中的创新技术与成功经验，为同类景区桥梁建设提供宝贵参考范例，在行业内起到良好示范引领作用。</w:t>
      </w:r>
    </w:p>
    <w:p w14:paraId="54618BD1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163195</wp:posOffset>
            </wp:positionH>
            <wp:positionV relativeFrom="paragraph">
              <wp:posOffset>17780</wp:posOffset>
            </wp:positionV>
            <wp:extent cx="4514215" cy="2813685"/>
            <wp:effectExtent l="0" t="0" r="635" b="5715"/>
            <wp:wrapNone/>
            <wp:docPr id="11" name="图片 11" descr="83798c6d3af1977bdc35400a94172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3798c6d3af1977bdc35400a94172a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4215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ABDBE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br w:type="page"/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174740" cy="4612640"/>
            <wp:effectExtent l="0" t="0" r="16510" b="16510"/>
            <wp:docPr id="15" name="图片 15" descr="a719f40c51ff060f593b2b6e79b3a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719f40c51ff060f593b2b6e79b3a55"/>
                    <pic:cNvPicPr>
                      <a:picLocks noChangeAspect="1"/>
                    </pic:cNvPicPr>
                  </pic:nvPicPr>
                  <pic:blipFill>
                    <a:blip r:embed="rId15"/>
                    <a:srcRect l="19869" t="228" r="20084" b="91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198235" cy="2954655"/>
            <wp:effectExtent l="0" t="0" r="12065" b="17145"/>
            <wp:docPr id="12" name="图片 12" descr="174850252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485025240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87EA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225540" cy="3353435"/>
            <wp:effectExtent l="0" t="0" r="3810" b="18415"/>
            <wp:docPr id="10" name="图片 10" descr="174850262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4850262365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117590" cy="5040630"/>
            <wp:effectExtent l="0" t="0" r="16510" b="7620"/>
            <wp:docPr id="13" name="图片 13" descr="174850255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4850255179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E4B0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201410" cy="8270875"/>
            <wp:effectExtent l="0" t="0" r="8890" b="15875"/>
            <wp:docPr id="14" name="图片 14" descr="42a139ec1dcd2d0f8a26395dc361a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2a139ec1dcd2d0f8a26395dc361a4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827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91F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textAlignment w:val="auto"/>
        <w:rPr>
          <w:rFonts w:hint="eastAsia" w:ascii="宋体" w:hAnsi="宋体" w:eastAsia="宋体" w:cs="宋体"/>
        </w:rPr>
      </w:pPr>
      <w:r>
        <w:rPr>
          <w:rStyle w:val="11"/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br w:type="page"/>
      </w:r>
    </w:p>
    <w:p w14:paraId="13407CE6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ajorEastAsia" w:hAnsiTheme="majorEastAsia" w:eastAsiaTheme="majorEastAsia" w:cstheme="majorEastAsia"/>
          <w:b/>
          <w:bCs/>
        </w:rPr>
      </w:pPr>
      <w:bookmarkStart w:id="17" w:name="_Toc13037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技术与设备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17"/>
    </w:p>
    <w:p w14:paraId="6A0F81E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Theme="majorEastAsia" w:hAnsiTheme="majorEastAsia" w:eastAsiaTheme="majorEastAsia" w:cstheme="maj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bookmarkStart w:id="18" w:name="_Toc2390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自主研发的技术或合作科研机构；</w:t>
      </w:r>
      <w:bookmarkEnd w:id="18"/>
    </w:p>
    <w:p w14:paraId="0F218795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960" w:firstLineChars="400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无</w:t>
      </w:r>
    </w:p>
    <w:p w14:paraId="2EB2A051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="宋体" w:hAnsi="宋体" w:eastAsia="宋体" w:cs="宋体"/>
          <w:b/>
          <w:bCs/>
        </w:rPr>
      </w:pPr>
      <w:bookmarkStart w:id="19" w:name="_Toc13214"/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施工设备规模（如大型机械、智能化设备）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19"/>
    </w:p>
    <w:p w14:paraId="5420E4E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960" w:firstLineChars="400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我公司拥有各种施工机械设备及检测仪器68余台（件）</w:t>
      </w:r>
      <w:r>
        <w:rPr>
          <w:rFonts w:hint="eastAsia" w:asciiTheme="minorEastAsia" w:hAnsi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。</w:t>
      </w:r>
    </w:p>
    <w:p w14:paraId="17B4C9B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color w:val="auto"/>
        </w:rPr>
      </w:pPr>
      <w:r>
        <w:rPr>
          <w:rStyle w:val="11"/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3、</w:t>
      </w:r>
      <w:r>
        <w:rPr>
          <w:rStyle w:val="11"/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合作与资源整合</w:t>
      </w: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：</w:t>
      </w:r>
    </w:p>
    <w:p w14:paraId="649BA7A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="宋体" w:hAnsi="宋体" w:eastAsia="宋体" w:cs="宋体"/>
          <w:color w:val="auto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Theme="majorEastAsia" w:hAnsiTheme="majorEastAsia" w:eastAsiaTheme="majorEastAsia" w:cstheme="maj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长期合作的甲方、设计院、供应商；</w:t>
      </w:r>
    </w:p>
    <w:p w14:paraId="3FF7C6F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1080" w:leftChars="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我公司长期合作有：中建七局、中建五局、中铁六局</w:t>
      </w:r>
      <w:r>
        <w:rPr>
          <w:rFonts w:hint="eastAsia" w:asciiTheme="minorEastAsia" w:hAnsiTheme="minorEastAsia" w:cstheme="minorEastAsia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。</w:t>
      </w:r>
    </w:p>
    <w:p w14:paraId="4128CAAA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="宋体" w:hAnsi="宋体" w:eastAsia="宋体" w:cs="宋体"/>
          <w:color w:val="auto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2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战略合作伙伴（如地产开发商、政府平台公司）。</w:t>
      </w:r>
    </w:p>
    <w:p w14:paraId="549EBFC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1080" w:leftChars="0"/>
        <w:textAlignment w:val="auto"/>
        <w:rPr>
          <w:rFonts w:hint="eastAsia" w:asciiTheme="minorEastAsia" w:hAnsiTheme="minorEastAsia" w:eastAsiaTheme="minorEastAsia" w:cstheme="minorEastAsia"/>
          <w:color w:val="auto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无</w:t>
      </w:r>
    </w:p>
    <w:p w14:paraId="27D762F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default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20" w:name="_Toc31411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五、经典项目案例</w:t>
      </w:r>
      <w:bookmarkEnd w:id="20"/>
    </w:p>
    <w:p w14:paraId="0EBC2B9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="宋体" w:hAnsi="宋体" w:eastAsia="宋体" w:cs="宋体"/>
        </w:rPr>
      </w:pPr>
      <w:bookmarkStart w:id="21" w:name="_Toc10330"/>
      <w:r>
        <w:rPr>
          <w:rStyle w:val="11"/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项目列表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21"/>
    </w:p>
    <w:p w14:paraId="2E4676C1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="宋体" w:hAnsi="宋体" w:eastAsia="宋体" w:cs="宋体"/>
        </w:rPr>
      </w:pPr>
      <w:bookmarkStart w:id="22" w:name="_Toc22687"/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按领域分类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有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压力管道、建筑装修装饰、钢结构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；</w:t>
      </w:r>
      <w:bookmarkEnd w:id="22"/>
    </w:p>
    <w:p w14:paraId="25FF6AF7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2"/>
        <w:rPr>
          <w:rFonts w:hint="eastAsia" w:asciiTheme="minorEastAsia" w:hAnsiTheme="minorEastAsia" w:eastAsiaTheme="minorEastAsia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bookmarkStart w:id="23" w:name="_Toc5717"/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每个项目注明：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项目名称、地点、规模（面积 / 投资额）、工期、角色（总包 / 分包）、技术难点及亮点。</w:t>
      </w:r>
      <w:bookmarkEnd w:id="23"/>
    </w:p>
    <w:p w14:paraId="0A1711D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压力管道：</w:t>
      </w:r>
    </w:p>
    <w:p w14:paraId="7434EF6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1、项目名称：商水县印染产业园红绿蓝、润融纺织热力供汽管网项目</w:t>
      </w:r>
    </w:p>
    <w:p w14:paraId="5344DBE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2、地点：周口市商水县</w:t>
      </w:r>
    </w:p>
    <w:p w14:paraId="3E0AF90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建设规模：迎宾大道DN500蒸汽主管道在光明路盛泰纺织预留分支处接出一根DN450(长度约756米)中压蒸汽管道，沿光明路东侧绿化带架空敷设至行政路印染产业园，后变径DN250(长度约600米)蒸汽管道沿行政路南侧接至印染产业园东西侧供红绿蓝、润融纺织使用，总长约1356m。</w:t>
      </w:r>
    </w:p>
    <w:p w14:paraId="4DD01D8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4、项目总投资：约682.79万元。</w:t>
      </w:r>
    </w:p>
    <w:p w14:paraId="2331931C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5、工期：180天</w:t>
      </w:r>
    </w:p>
    <w:p w14:paraId="015F5E2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6、角色：总包</w:t>
      </w:r>
    </w:p>
    <w:p w14:paraId="1D00785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7、技术难点：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跨度长，架空敷设横穿路面。</w:t>
      </w:r>
    </w:p>
    <w:p w14:paraId="34C5872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建筑装修装饰</w:t>
      </w:r>
    </w:p>
    <w:p w14:paraId="739F053F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1、项目名称：河南省体育场馆中心北区运动员公寓改造项目</w:t>
      </w:r>
    </w:p>
    <w:p w14:paraId="000CF967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2、地点：河南省体育场</w:t>
      </w:r>
    </w:p>
    <w:p w14:paraId="48A7EB9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建设规模：公寓5层共5000平，广场3000平。</w:t>
      </w:r>
    </w:p>
    <w:p w14:paraId="4968E05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4、项目总投资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：1392.3万元</w:t>
      </w:r>
    </w:p>
    <w:p w14:paraId="21F631F7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5、工期：180天</w:t>
      </w:r>
    </w:p>
    <w:p w14:paraId="7F885B59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6、角色：总包</w:t>
      </w:r>
    </w:p>
    <w:p w14:paraId="5164E315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7、技术难点：工程量大，学校没有放假，进度缓慢。</w:t>
      </w:r>
    </w:p>
    <w:p w14:paraId="4ED6DFD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钢结构</w:t>
      </w:r>
    </w:p>
    <w:p w14:paraId="3C4E5A93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1、项目名称：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碧峰峡景区旅游配套项目-人行吊桥及其配套体验项目</w:t>
      </w:r>
    </w:p>
    <w:p w14:paraId="0E6050E4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2、地点：河南省体育场</w:t>
      </w:r>
    </w:p>
    <w:p w14:paraId="7D1ECFF2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3、建设规模：新建双主缆人行吊桥1座，计算跨径215m，主缆采用双主缆，垂度19.829m，垂跨比1/10.84;桥面标准宽 3.5m,桥梁计算荷载3.5KN/㎡</w:t>
      </w:r>
    </w:p>
    <w:p w14:paraId="3809FE47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4、项目总投资：1962.32万元</w:t>
      </w:r>
    </w:p>
    <w:p w14:paraId="3C98791B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5、工期：166天</w:t>
      </w:r>
    </w:p>
    <w:p w14:paraId="6624C92D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6、角色：总包</w:t>
      </w:r>
    </w:p>
    <w:p w14:paraId="325480D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7、技术难点：</w:t>
      </w:r>
    </w:p>
    <w:p w14:paraId="6F94FA2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（1）复杂地形挑战 碧峰峡地势起伏大、峡谷纵深，地质条件复杂。</w:t>
      </w:r>
    </w:p>
    <w:p w14:paraId="6DD160F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（2）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恶劣气候影响 施工期间正值雨季，频繁降水和大风天气给高空作业带来极大安全隐患，也影响施工进度。</w:t>
      </w:r>
    </w:p>
    <w:p w14:paraId="34FDE7F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（3）技术要求高 吊桥主跨215米，宽3.5米，两侧主桥塔高度30.59米，对结构设计与施工精度要求极高。</w:t>
      </w:r>
    </w:p>
    <w:p w14:paraId="42FE46B3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ajorEastAsia" w:hAnsiTheme="majorEastAsia" w:eastAsiaTheme="majorEastAsia" w:cstheme="majorEastAsia"/>
        </w:rPr>
      </w:pPr>
      <w:bookmarkStart w:id="24" w:name="_Toc17171"/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</w:t>
      </w:r>
      <w:r>
        <w:rPr>
          <w:rStyle w:val="11"/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代表性项目详情</w:t>
      </w:r>
      <w:r>
        <w:rPr>
          <w:rFonts w:hint="eastAsia" w:asciiTheme="majorEastAsia" w:hAnsiTheme="majorEastAsia" w:eastAsiaTheme="majorEastAsia" w:cstheme="maj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bookmarkEnd w:id="24"/>
    </w:p>
    <w:p w14:paraId="0046F84A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eastAsia="zh-CN"/>
          <w14:textFill>
            <w14:solidFill>
              <w14:schemeClr w14:val="tx1"/>
            </w14:solidFill>
          </w14:textFill>
        </w:rPr>
        <w:t>（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eastAsia="zh-CN"/>
          <w14:textFill>
            <w14:solidFill>
              <w14:schemeClr w14:val="tx1"/>
            </w14:solidFill>
          </w14:textFill>
        </w:rPr>
        <w:t>）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选取 1-2 个知名项目，配图片（如有），详细说明项目影响力、技术创新或社会价值（如民生工程、地标性建筑）。</w:t>
      </w:r>
    </w:p>
    <w:p w14:paraId="184F4D4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项目名称：碧峰峡景区旅游配套项目-人行吊桥及其配套体验项目</w:t>
      </w:r>
    </w:p>
    <w:p w14:paraId="4A37714B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一、项目背景与目标 </w:t>
      </w:r>
    </w:p>
    <w:p w14:paraId="62AC3A7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碧峰峡景区作为知名旅游胜地，为提升游客游览体验、优化景区内部交通动线，决定新建一座连接野生动物世界与熊猫基地的吊桥。项目旨在缩短两大热门游览区域间的通行时间，将原本需乘坐观光车耗时较长的路程，变为便捷的步行通道，同时为景区增添独特景观，增强景区吸引力。</w:t>
      </w:r>
    </w:p>
    <w:p w14:paraId="4C2F55B0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二、项目难点及应对措施 </w:t>
      </w:r>
    </w:p>
    <w:p w14:paraId="07EA5AA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（一）复杂地形挑战 </w:t>
      </w:r>
    </w:p>
    <w:p w14:paraId="52C69717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碧峰峡地势起伏大、峡谷纵深，地质条件复杂。为此，在前期勘察阶段，我们运用高精度地质勘探设备，对桥址区域进行全方位探测，获取详细地质数据。基于这些数据，设计团队创新采用了独特的桥塔基础形式，通过深挖桩基础，增强桥塔稳定性，使其能稳固扎根于复杂地质中，有效抵御地质沉降与山体位移风险。 </w:t>
      </w:r>
    </w:p>
    <w:p w14:paraId="41E0ADF2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（二）恶劣气候影响 </w:t>
      </w:r>
    </w:p>
    <w:p w14:paraId="1354682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施工期间正值雨季，频繁降水和大风天气给高空作业带来极大安全隐患，也影响施工进度。我们制定了完善的应急预案，遇到恶劣天气立即停止高空作业，做好设备防护与人员撤离。同时，优化施工计划，将受天气影响较小的工序安排在雨天进行，如地面构件组装、材料准备等；在天气良好时，集中力量进行关键高空作业，并通过增加施工人员与设备投入，抢回延误工期。 </w:t>
      </w:r>
    </w:p>
    <w:p w14:paraId="105B76B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（三）技术要求高 </w:t>
      </w:r>
    </w:p>
    <w:p w14:paraId="6A19B985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吊桥主跨215米，宽3.5米，两侧主桥塔高度30.59米，对结构设计与施工精度要求极高。我们组建了由资深桥梁专家、结构工程师和经验丰富施工团队构成的攻坚小组，利用先进的三维建模技术，对吊桥结构进行模拟分析与优化设计 ，提前预演施工过程，精准把控施工难点与关键环节。在施工过程中，运用高精度测量仪器，如全站仪、水准仪等，对构件安装位置和标高进行实时监测与调整，确保施工精度达到毫米级，满足设计要求。 </w:t>
      </w:r>
    </w:p>
    <w:p w14:paraId="2D387A5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三、项目创新点 </w:t>
      </w:r>
    </w:p>
    <w:p w14:paraId="647AFB5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（一）独特设计理念 </w:t>
      </w:r>
    </w:p>
    <w:p w14:paraId="3BC3636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桥塔造型设计融入熊猫主题元素，将桥塔立柱仿生为“竹笋”“竹叶”造型，营造出“熊猫拉着竹笋拔河”的独特意境美，既与景区大熊猫文化相契合，又为游客带来新奇视觉体验，成为景区标志性景观。同时，桥面采用钢格栅板铺装，不仅保证结构安全可靠，还让游客行走时能全方位欣赏峡谷壮丽景色，增强游览趣味性。 </w:t>
      </w:r>
    </w:p>
    <w:p w14:paraId="37F526F6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（二）施工技术创新</w:t>
      </w:r>
    </w:p>
    <w:p w14:paraId="028D2B3F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采用整体提升技术进行主缆安装，先在地面将主缆及相关构件组装完成，再利用大型提升设备将其整体提升至设计位置，大大减少高空作业量，提高施工安全性与效率。在构件连接方面，运用新型高强度螺栓连接技术，结合高精度定位工装，确保连接紧密牢固，同时提高安装速度。</w:t>
      </w:r>
    </w:p>
    <w:p w14:paraId="2612185D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四、项目成果</w:t>
      </w:r>
    </w:p>
    <w:p w14:paraId="17FDEFF9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1. 提升游览体验：吊桥建成后，游客从动物园海狮馆区域步行约3分钟即可抵达熊猫基地，极大节省游玩时间，提升游览效率，优化旅游动线，游客满意度大幅提升。</w:t>
      </w:r>
    </w:p>
    <w:p w14:paraId="243E9818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 景区形象升级：吊桥成为景区新的标志性景观，吸引众多游客前来打卡拍照，提升景区知名度与美誉度，有力推动景区旅游业发展，为当地经济增长做出积极贡献 。</w:t>
      </w:r>
    </w:p>
    <w:p w14:paraId="22E9D004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3. 行业示范作用：项目在设计、施工过程中的创新技术与成功经验，为同类景区桥梁建设提供宝贵参考范例，在行业内起到良好示范引领作用。</w:t>
      </w:r>
    </w:p>
    <w:p w14:paraId="2385DDEC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163195</wp:posOffset>
            </wp:positionH>
            <wp:positionV relativeFrom="paragraph">
              <wp:posOffset>17780</wp:posOffset>
            </wp:positionV>
            <wp:extent cx="5998210" cy="3738880"/>
            <wp:effectExtent l="0" t="0" r="2540" b="13970"/>
            <wp:wrapNone/>
            <wp:docPr id="16" name="图片 16" descr="83798c6d3af1977bdc35400a94172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83798c6d3af1977bdc35400a94172a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9821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74C02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3627755</wp:posOffset>
            </wp:positionV>
            <wp:extent cx="6174740" cy="4612640"/>
            <wp:effectExtent l="0" t="0" r="16510" b="16510"/>
            <wp:wrapNone/>
            <wp:docPr id="17" name="图片 17" descr="a719f40c51ff060f593b2b6e79b3a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a719f40c51ff060f593b2b6e79b3a55"/>
                    <pic:cNvPicPr>
                      <a:picLocks noChangeAspect="1"/>
                    </pic:cNvPicPr>
                  </pic:nvPicPr>
                  <pic:blipFill>
                    <a:blip r:embed="rId15"/>
                    <a:srcRect l="19869" t="228" r="20084" b="91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461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br w:type="page"/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198235" cy="2954655"/>
            <wp:effectExtent l="0" t="0" r="12065" b="17145"/>
            <wp:docPr id="18" name="图片 18" descr="1748502524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485025240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823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225540" cy="3353435"/>
            <wp:effectExtent l="0" t="0" r="3810" b="18415"/>
            <wp:docPr id="19" name="图片 19" descr="1748502623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4850262365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7F4C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210300" cy="5116830"/>
            <wp:effectExtent l="0" t="0" r="0" b="7620"/>
            <wp:docPr id="20" name="图片 20" descr="174850255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4850255179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11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6220460" cy="8296275"/>
            <wp:effectExtent l="0" t="0" r="8890" b="9525"/>
            <wp:docPr id="21" name="图片 21" descr="42a139ec1dcd2d0f8a26395dc361a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2a139ec1dcd2d0f8a26395dc361a4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20460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3A928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textAlignment w:val="auto"/>
        <w:rPr>
          <w:rFonts w:hint="eastAsia" w:ascii="宋体" w:hAnsi="宋体" w:eastAsia="宋体" w:cs="宋体"/>
          <w:color w:val="000000" w:themeColor="text1"/>
          <w14:textFill>
            <w14:solidFill>
              <w14:schemeClr w14:val="tx1"/>
            </w14:solidFill>
          </w14:textFill>
        </w:rPr>
      </w:pPr>
    </w:p>
    <w:p w14:paraId="381C27F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default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25" w:name="_Toc22251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六、企业理念与文化</w:t>
      </w:r>
      <w:bookmarkEnd w:id="25"/>
    </w:p>
    <w:p w14:paraId="1120D8ED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inorEastAsia" w:hAnsiTheme="minorEastAsia" w:eastAsiaTheme="minorEastAsia" w:cstheme="minorEastAsia"/>
        </w:rPr>
      </w:pPr>
      <w:bookmarkStart w:id="26" w:name="_Toc10779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核心价值观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以专业、专注精心筑造放心工程,全心全意为客户、员工服务,认真贯彻国家方针,切实履行社会责任</w:t>
      </w:r>
      <w:r>
        <w:rPr>
          <w:rFonts w:hint="eastAsia" w:asciiTheme="minorEastAsia" w:hAnsiTheme="minorEastAsia" w:eastAsiaTheme="minorEastAsia" w:cstheme="minorEastAsia"/>
          <w:b w:val="0"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26"/>
    </w:p>
    <w:p w14:paraId="02848F0D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inorEastAsia" w:hAnsiTheme="minorEastAsia" w:eastAsiaTheme="minorEastAsia" w:cstheme="minorEastAsia"/>
          <w:b w:val="0"/>
          <w:bCs/>
        </w:rPr>
      </w:pPr>
      <w:bookmarkStart w:id="27" w:name="_Toc11667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企业使命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提供专业高端队伍,精心筑造放心工程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eastAsia="zh-CN"/>
        </w:rPr>
        <w:t>。</w:t>
      </w:r>
      <w:bookmarkEnd w:id="27"/>
    </w:p>
    <w:p w14:paraId="458A31D0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Style w:val="11"/>
          <w:rFonts w:hint="eastAsia" w:asciiTheme="minorEastAsia" w:hAnsiTheme="minorEastAsia" w:eastAsiaTheme="minorEastAsia" w:cstheme="minorEastAsia"/>
          <w:b w:val="0"/>
          <w:bCs/>
        </w:rPr>
      </w:pPr>
      <w:bookmarkStart w:id="28" w:name="_Toc28808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发展愿景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建设放心工程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  <w:t>，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树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  <w:t>海控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品牌。</w:t>
      </w:r>
      <w:bookmarkEnd w:id="28"/>
    </w:p>
    <w:p w14:paraId="697D855C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="宋体" w:hAnsi="宋体" w:eastAsia="宋体" w:cs="宋体"/>
        </w:rPr>
      </w:pPr>
      <w:bookmarkStart w:id="29" w:name="_Toc12866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社会责任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</w:rPr>
        <w:t>专业进取 质量至上 合作共赢 回报社会</w:t>
      </w:r>
      <w:r>
        <w:rPr>
          <w:rStyle w:val="11"/>
          <w:rFonts w:hint="eastAsia" w:ascii="宋体" w:hAnsi="宋体" w:eastAsia="宋体" w:cs="宋体"/>
          <w:b w:val="0"/>
          <w:bCs/>
        </w:rPr>
        <w:t>。</w:t>
      </w:r>
      <w:bookmarkEnd w:id="29"/>
    </w:p>
    <w:p w14:paraId="7FCEF05E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30" w:name="_Toc13623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七、财务与履约能力</w:t>
      </w:r>
      <w:bookmarkEnd w:id="30"/>
    </w:p>
    <w:p w14:paraId="7030D5F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20" w:firstLineChars="200"/>
        <w:textAlignment w:val="auto"/>
        <w:rPr>
          <w:rStyle w:val="11"/>
          <w:rFonts w:hint="default" w:asciiTheme="minorEastAsia" w:hAnsiTheme="minorEastAsia" w:cstheme="minorEastAsia"/>
          <w:b w:val="0"/>
          <w:bCs/>
          <w:lang w:val="en-US" w:eastAsia="zh-CN"/>
        </w:rPr>
      </w:pP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  <w:t>我公司2024年</w:t>
      </w:r>
      <w:r>
        <w:rPr>
          <w:rStyle w:val="11"/>
          <w:rFonts w:hint="default" w:asciiTheme="minorEastAsia" w:hAnsiTheme="minorEastAsia" w:eastAsiaTheme="minorEastAsia" w:cstheme="minorEastAsia"/>
          <w:b w:val="0"/>
          <w:bCs/>
        </w:rPr>
        <w:t>年度营业额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  <w:t>为9272.28万元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eastAsia="zh-CN"/>
        </w:rPr>
        <w:t>，</w:t>
      </w:r>
      <w:r>
        <w:rPr>
          <w:rStyle w:val="11"/>
          <w:rFonts w:hint="default" w:asciiTheme="minorEastAsia" w:hAnsiTheme="minorEastAsia" w:eastAsiaTheme="minorEastAsia" w:cstheme="minorEastAsia"/>
          <w:b w:val="0"/>
          <w:bCs/>
        </w:rPr>
        <w:t>纳税额</w:t>
      </w:r>
      <w:r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  <w:t>为</w:t>
      </w:r>
      <w:r>
        <w:rPr>
          <w:rStyle w:val="11"/>
          <w:rFonts w:hint="eastAsia" w:asciiTheme="minorEastAsia" w:hAnsiTheme="minorEastAsia" w:cstheme="minorEastAsia"/>
          <w:b w:val="0"/>
          <w:bCs/>
          <w:lang w:val="en-US" w:eastAsia="zh-CN"/>
        </w:rPr>
        <w:t>：178.21万元。</w:t>
      </w:r>
    </w:p>
    <w:p w14:paraId="0CC924F3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20" w:firstLineChars="200"/>
        <w:textAlignment w:val="auto"/>
        <w:rPr>
          <w:rStyle w:val="11"/>
          <w:rFonts w:hint="eastAsia" w:asciiTheme="minorEastAsia" w:hAnsiTheme="minorEastAsia" w:eastAsiaTheme="minorEastAsia" w:cstheme="minorEastAsia"/>
          <w:b w:val="0"/>
          <w:bCs/>
          <w:lang w:val="en-US" w:eastAsia="zh-CN"/>
        </w:rPr>
      </w:pPr>
      <w:r>
        <w:rPr>
          <w:rStyle w:val="11"/>
          <w:rFonts w:hint="eastAsia" w:asciiTheme="minorEastAsia" w:hAnsiTheme="minorEastAsia" w:cstheme="minorEastAsia"/>
          <w:b w:val="0"/>
          <w:bCs/>
          <w:lang w:val="en-US" w:eastAsia="zh-CN"/>
        </w:rPr>
        <w:t>我公司承诺：我公司自成立以来</w:t>
      </w:r>
      <w:r>
        <w:rPr>
          <w:rStyle w:val="11"/>
          <w:rFonts w:hint="default" w:asciiTheme="minorEastAsia" w:hAnsiTheme="minorEastAsia" w:eastAsiaTheme="minorEastAsia" w:cstheme="minorEastAsia"/>
          <w:b w:val="0"/>
          <w:bCs/>
        </w:rPr>
        <w:t>无重大违约记录</w:t>
      </w:r>
      <w:r>
        <w:rPr>
          <w:rStyle w:val="11"/>
          <w:rFonts w:hint="eastAsia" w:asciiTheme="minorEastAsia" w:hAnsiTheme="minorEastAsia" w:cstheme="minorEastAsia"/>
          <w:b w:val="0"/>
          <w:bCs/>
          <w:lang w:eastAsia="zh-CN"/>
        </w:rPr>
        <w:t>。</w:t>
      </w:r>
    </w:p>
    <w:p w14:paraId="2A0DD1E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720" w:lineRule="auto"/>
        <w:textAlignment w:val="auto"/>
        <w:outlineLvl w:val="0"/>
        <w:rPr>
          <w:rFonts w:hint="default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</w:pPr>
      <w:bookmarkStart w:id="31" w:name="_Toc23578"/>
      <w:r>
        <w:rPr>
          <w:rFonts w:hint="eastAsia" w:asciiTheme="majorEastAsia" w:hAnsiTheme="majorEastAsia" w:eastAsiaTheme="majorEastAsia" w:cstheme="majorEastAsia"/>
          <w:b/>
          <w:bCs/>
          <w:sz w:val="36"/>
          <w:szCs w:val="44"/>
          <w:lang w:val="en-US" w:eastAsia="zh-CN"/>
        </w:rPr>
        <w:t>八、联系方式与合作渠道</w:t>
      </w:r>
      <w:bookmarkEnd w:id="31"/>
    </w:p>
    <w:p w14:paraId="2DC91151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inorEastAsia" w:hAnsiTheme="minorEastAsia" w:eastAsiaTheme="minorEastAsia" w:cstheme="minorEastAsia"/>
        </w:rPr>
      </w:pPr>
      <w:bookmarkStart w:id="32" w:name="_Toc32665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官方信息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：微信公众号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海控建工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32"/>
    </w:p>
    <w:p w14:paraId="37CA7C4E">
      <w:pPr>
        <w:keepNext w:val="0"/>
        <w:keepLines w:val="0"/>
        <w:pageBreakBefore w:val="0"/>
        <w:widowControl/>
        <w:numPr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firstLine="482" w:firstLineChars="200"/>
        <w:textAlignment w:val="auto"/>
        <w:outlineLvl w:val="1"/>
        <w:rPr>
          <w:rFonts w:hint="eastAsia" w:asciiTheme="minorEastAsia" w:hAnsiTheme="minorEastAsia" w:eastAsiaTheme="minorEastAsia" w:cstheme="minorEastAsia"/>
        </w:rPr>
      </w:pPr>
      <w:bookmarkStart w:id="33" w:name="_Toc5720"/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2、</w:t>
      </w:r>
      <w:r>
        <w:rPr>
          <w:rStyle w:val="11"/>
          <w:rFonts w:hint="eastAsia" w:asciiTheme="minorEastAsia" w:hAnsiTheme="minorEastAsia" w:eastAsiaTheme="minorEastAsia" w:cstheme="minorEastAsia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联络方式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：电话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:15515866739，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邮箱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1141134738@qq.com</w:t>
      </w:r>
      <w:r>
        <w:rPr>
          <w:rFonts w:hint="eastAsia" w:asciiTheme="minorEastAsia" w:hAnsi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，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商务合作部门负责人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王洁</w:t>
      </w: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。</w:t>
      </w:r>
      <w:bookmarkEnd w:id="33"/>
      <w:bookmarkStart w:id="34" w:name="_GoBack"/>
      <w:bookmarkEnd w:id="34"/>
    </w:p>
    <w:p w14:paraId="46508642">
      <w:pPr>
        <w:rPr>
          <w:rFonts w:hint="eastAsia" w:ascii="宋体" w:hAnsi="宋体" w:eastAsia="宋体" w:cs="宋体"/>
        </w:rPr>
      </w:pPr>
    </w:p>
    <w:sectPr>
      <w:footerReference r:id="rId3" w:type="default"/>
      <w:pgSz w:w="11906" w:h="16838"/>
      <w:pgMar w:top="1440" w:right="1080" w:bottom="1440" w:left="108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63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综艺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3DBA9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3" name="文本框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DBFE91"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OuZSL7eAgAAJg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4DBFE91"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7AAFD3"/>
    <w:multiLevelType w:val="multilevel"/>
    <w:tmpl w:val="6F7AAFD3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57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F80B45"/>
    <w:rsid w:val="09DC2A3C"/>
    <w:rsid w:val="16B9038D"/>
    <w:rsid w:val="16F70EB5"/>
    <w:rsid w:val="1C8D618F"/>
    <w:rsid w:val="1FD53D5E"/>
    <w:rsid w:val="21396A96"/>
    <w:rsid w:val="23442617"/>
    <w:rsid w:val="34524828"/>
    <w:rsid w:val="37735EDE"/>
    <w:rsid w:val="38C5276A"/>
    <w:rsid w:val="4D3F6107"/>
    <w:rsid w:val="4D6C7200"/>
    <w:rsid w:val="59C6613C"/>
    <w:rsid w:val="5AF80B45"/>
    <w:rsid w:val="608E53F7"/>
    <w:rsid w:val="7130216F"/>
    <w:rsid w:val="784B5AE0"/>
    <w:rsid w:val="7D2008FE"/>
    <w:rsid w:val="7F347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10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3"/>
    <w:basedOn w:val="1"/>
    <w:next w:val="1"/>
    <w:uiPriority w:val="0"/>
    <w:pPr>
      <w:ind w:left="840" w:leftChars="400"/>
    </w:pPr>
  </w:style>
  <w:style w:type="paragraph" w:styleId="4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uiPriority w:val="0"/>
  </w:style>
  <w:style w:type="paragraph" w:styleId="7">
    <w:name w:val="toc 2"/>
    <w:basedOn w:val="1"/>
    <w:next w:val="1"/>
    <w:uiPriority w:val="0"/>
    <w:pPr>
      <w:ind w:left="420" w:leftChars="200"/>
    </w:pPr>
  </w:style>
  <w:style w:type="paragraph" w:styleId="8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 w:cs="Arial Unicode MS"/>
      <w:kern w:val="0"/>
      <w:sz w:val="24"/>
    </w:rPr>
  </w:style>
  <w:style w:type="character" w:styleId="11">
    <w:name w:val="Strong"/>
    <w:basedOn w:val="10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5633</Words>
  <Characters>5856</Characters>
  <Lines>0</Lines>
  <Paragraphs>0</Paragraphs>
  <TotalTime>9</TotalTime>
  <ScaleCrop>false</ScaleCrop>
  <LinksUpToDate>false</LinksUpToDate>
  <CharactersWithSpaces>9986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2025-05-30T07:14:00Z</dcterms:created>
  <dc:creator>美玉天成</dc:creator>
  <cp:lastModifiedBy>其实都没有</cp:lastModifiedBy>
  <dcterms:modified xsi:type="dcterms:W3CDTF">2025-06-05T10:12:11Z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E7776BC15BF34C41A9429CBCD760451B_13</vt:lpwstr>
  </property>
  <property fmtid="{D5CDD505-2E9C-101B-9397-08002B2CF9AE}" pid="4" name="KSOTemplateDocerSaveRecord">
    <vt:lpwstr>eyJoZGlkIjoiM2I3YWYwYzA5YTBlYTQ1MGRkNGJjNmI3MTgyODQwZTciLCJ1c2VySWQiOiIyOTQwMTg1ODcifQ==</vt:lpwstr>
  </property>
</Properties>
</file>